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EA0E" w14:textId="5479CB2E" w:rsidR="009C2057" w:rsidRPr="009C2057" w:rsidRDefault="009C2057" w:rsidP="009C2057">
      <w:pPr>
        <w:shd w:val="clear" w:color="auto" w:fill="FFFFFF"/>
        <w:outlineLvl w:val="0"/>
        <w:rPr>
          <w:rFonts w:ascii="Lato" w:eastAsia="Times New Roman" w:hAnsi="Lato" w:cs="Times New Roman"/>
          <w:color w:val="CC3300"/>
          <w:kern w:val="36"/>
          <w:sz w:val="36"/>
          <w:szCs w:val="36"/>
          <w:lang w:eastAsia="fr-FR"/>
        </w:rPr>
      </w:pPr>
      <w:r>
        <w:rPr>
          <w:rFonts w:ascii="Lato" w:eastAsia="Times New Roman" w:hAnsi="Lato" w:cs="Times New Roman"/>
          <w:color w:val="CC3300"/>
          <w:kern w:val="36"/>
          <w:sz w:val="36"/>
          <w:szCs w:val="36"/>
          <w:lang w:eastAsia="fr-FR"/>
        </w:rPr>
        <w:t>L</w:t>
      </w:r>
      <w:r w:rsidRPr="009C2057">
        <w:rPr>
          <w:rFonts w:ascii="Lato" w:eastAsia="Times New Roman" w:hAnsi="Lato" w:cs="Times New Roman"/>
          <w:color w:val="CC3300"/>
          <w:kern w:val="36"/>
          <w:sz w:val="36"/>
          <w:szCs w:val="36"/>
          <w:lang w:eastAsia="fr-FR"/>
        </w:rPr>
        <w:t>e cuivre garde le cap</w:t>
      </w:r>
    </w:p>
    <w:p w14:paraId="3CBC1C80" w14:textId="77777777" w:rsidR="009C2057" w:rsidRDefault="009C2057" w:rsidP="009C2057">
      <w:pPr>
        <w:shd w:val="clear" w:color="auto" w:fill="FFFFFF"/>
        <w:spacing w:before="75" w:after="75"/>
        <w:jc w:val="both"/>
        <w:rPr>
          <w:rFonts w:ascii="Lato" w:eastAsia="Times New Roman" w:hAnsi="Lato" w:cs="Times New Roman"/>
          <w:i/>
          <w:iCs/>
          <w:color w:val="000000"/>
          <w:sz w:val="23"/>
          <w:szCs w:val="23"/>
          <w:lang w:eastAsia="fr-FR"/>
        </w:rPr>
      </w:pPr>
    </w:p>
    <w:p w14:paraId="06A20660" w14:textId="1E9B092F" w:rsidR="009C2057" w:rsidRPr="009C2057" w:rsidRDefault="009C2057" w:rsidP="009C2057">
      <w:pPr>
        <w:shd w:val="clear" w:color="auto" w:fill="FFFFFF"/>
        <w:spacing w:before="75" w:after="75"/>
        <w:jc w:val="both"/>
        <w:rPr>
          <w:rFonts w:ascii="Lato" w:eastAsia="Times New Roman" w:hAnsi="Lato" w:cs="Times New Roman"/>
          <w:color w:val="000000"/>
          <w:sz w:val="23"/>
          <w:szCs w:val="23"/>
          <w:lang w:eastAsia="fr-FR"/>
        </w:rPr>
      </w:pPr>
      <w:r w:rsidRPr="009C2057">
        <w:rPr>
          <w:rFonts w:ascii="Lato" w:eastAsia="Times New Roman" w:hAnsi="Lato" w:cs="Times New Roman"/>
          <w:color w:val="000000"/>
          <w:sz w:val="23"/>
          <w:szCs w:val="23"/>
          <w:lang w:eastAsia="fr-FR"/>
        </w:rPr>
        <w:t xml:space="preserve">Les cours du cuivre ont repris leur avancée ce matin sur le LME, portés par un dollar en berne et l’assouplissement des mesures sanitaires en Chine. Le marché reste malgré tout sur ses gardes avant la publication des chiffres sur l’emploi américain, cet après-midi.  « Le repli du billet vert a contribué à faire progresser les cours, et les signes montrant que la Chine pourrait revoir sa stratégie ‘zéro-Covid’ constituent également un facteur de soutien », souligne </w:t>
      </w:r>
      <w:proofErr w:type="spellStart"/>
      <w:r w:rsidRPr="009C2057">
        <w:rPr>
          <w:rFonts w:ascii="Lato" w:eastAsia="Times New Roman" w:hAnsi="Lato" w:cs="Times New Roman"/>
          <w:color w:val="000000"/>
          <w:sz w:val="23"/>
          <w:szCs w:val="23"/>
          <w:lang w:eastAsia="fr-FR"/>
        </w:rPr>
        <w:t>Nitesh</w:t>
      </w:r>
      <w:proofErr w:type="spellEnd"/>
      <w:r w:rsidRPr="009C2057">
        <w:rPr>
          <w:rFonts w:ascii="Lato" w:eastAsia="Times New Roman" w:hAnsi="Lato" w:cs="Times New Roman"/>
          <w:color w:val="000000"/>
          <w:sz w:val="23"/>
          <w:szCs w:val="23"/>
          <w:lang w:eastAsia="fr-FR"/>
        </w:rPr>
        <w:t xml:space="preserve"> Shah, analyste chez </w:t>
      </w:r>
      <w:proofErr w:type="spellStart"/>
      <w:r w:rsidRPr="009C2057">
        <w:rPr>
          <w:rFonts w:ascii="Lato" w:eastAsia="Times New Roman" w:hAnsi="Lato" w:cs="Times New Roman"/>
          <w:color w:val="000000"/>
          <w:sz w:val="23"/>
          <w:szCs w:val="23"/>
          <w:lang w:eastAsia="fr-FR"/>
        </w:rPr>
        <w:t>WisdomTree</w:t>
      </w:r>
      <w:proofErr w:type="spellEnd"/>
      <w:r w:rsidRPr="009C2057">
        <w:rPr>
          <w:rFonts w:ascii="Lato" w:eastAsia="Times New Roman" w:hAnsi="Lato" w:cs="Times New Roman"/>
          <w:color w:val="000000"/>
          <w:sz w:val="23"/>
          <w:szCs w:val="23"/>
          <w:lang w:eastAsia="fr-FR"/>
        </w:rPr>
        <w:t>. </w:t>
      </w:r>
      <w:r w:rsidRPr="009C2057">
        <w:rPr>
          <w:rFonts w:ascii="Lato" w:eastAsia="Times New Roman" w:hAnsi="Lato" w:cs="Times New Roman"/>
          <w:color w:val="000000"/>
          <w:sz w:val="23"/>
          <w:szCs w:val="23"/>
          <w:lang w:eastAsia="fr-FR"/>
        </w:rPr>
        <w:br/>
        <w:t>La, très stricte, politique sanitaire de la Chine a impacté à la fois la consommation domestique, la production industrielle mais aussi toutes les chaînes d’approvisionnement. </w:t>
      </w:r>
      <w:r w:rsidRPr="009C2057">
        <w:rPr>
          <w:rFonts w:ascii="Lato" w:eastAsia="Times New Roman" w:hAnsi="Lato" w:cs="Times New Roman"/>
          <w:color w:val="000000"/>
          <w:sz w:val="23"/>
          <w:szCs w:val="23"/>
          <w:lang w:eastAsia="fr-FR"/>
        </w:rPr>
        <w:br/>
        <w:t>Le dernier rapport de l’emploi américain, publié en début d’après-midi, est attendu par les investisseurs, qui y chercheront des indices sur la politique monétaire à venir. « En fonction de ce qu’indiquera le rapport, le dollar pourrait repartir à la hausse, ce qui pourrait pénaliser les métaux », avertit l’analyste.  </w:t>
      </w:r>
      <w:r w:rsidRPr="009C2057">
        <w:rPr>
          <w:rFonts w:ascii="Lato" w:eastAsia="Times New Roman" w:hAnsi="Lato" w:cs="Times New Roman"/>
          <w:color w:val="000000"/>
          <w:sz w:val="23"/>
          <w:szCs w:val="23"/>
          <w:lang w:eastAsia="fr-FR"/>
        </w:rPr>
        <w:br/>
        <w:t>La prudence des investisseurs est également de mise sur le marché des précieux, où l’or évolue dans une fourchette de cours étroite. Le métal jaune devrait toutefois terminer la semaine sur une note positive, pour la deuxième fois consécutive. L’or a progressé de 2,5 % depuis le début de la semaine, tandis que le dollar a reculé de 1 %. </w:t>
      </w:r>
    </w:p>
    <w:p w14:paraId="52B1814D"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57"/>
    <w:rsid w:val="000F156F"/>
    <w:rsid w:val="009C2057"/>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9D3E30E"/>
  <w15:chartTrackingRefBased/>
  <w15:docId w15:val="{3A1F0C01-71EF-FA44-9DFA-D9B23315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C2057"/>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C2057"/>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9C2057"/>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C2057"/>
    <w:rPr>
      <w:color w:val="0000FF"/>
      <w:u w:val="single"/>
    </w:rPr>
  </w:style>
  <w:style w:type="paragraph" w:styleId="NormalWeb">
    <w:name w:val="Normal (Web)"/>
    <w:basedOn w:val="Normal"/>
    <w:uiPriority w:val="99"/>
    <w:semiHidden/>
    <w:unhideWhenUsed/>
    <w:rsid w:val="009C2057"/>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1161</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2022-12-05T07:05:00Z</dcterms:created>
  <dcterms:modified xsi:type="dcterms:W3CDTF">2022-12-05T07:05:00Z</dcterms:modified>
</cp:coreProperties>
</file>